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  <w:r>
        <w:rPr>
          <w:rFonts w:ascii="Arial" w:hAnsi="Arial" w:cs="Arial"/>
          <w:color w:val="464646"/>
          <w:sz w:val="18"/>
          <w:szCs w:val="18"/>
        </w:rPr>
        <w:t>Naczelnik                                                                                                                      Poznań, 07 lutego 2014 r.</w:t>
      </w:r>
    </w:p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  <w:r>
        <w:rPr>
          <w:rFonts w:ascii="Arial" w:hAnsi="Arial" w:cs="Arial"/>
          <w:color w:val="464646"/>
          <w:sz w:val="18"/>
          <w:szCs w:val="18"/>
        </w:rPr>
        <w:t xml:space="preserve">Urzędu Skarbowego </w:t>
      </w:r>
    </w:p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  <w:r>
        <w:rPr>
          <w:rFonts w:ascii="Arial" w:hAnsi="Arial" w:cs="Arial"/>
          <w:color w:val="464646"/>
          <w:sz w:val="18"/>
          <w:szCs w:val="18"/>
        </w:rPr>
        <w:t>Poznań – Grunwald</w:t>
      </w:r>
    </w:p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</w:p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</w:p>
    <w:p w:rsidR="00761490" w:rsidRPr="009453CA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  <w:r w:rsidRPr="009453CA">
        <w:rPr>
          <w:rFonts w:ascii="Arial" w:hAnsi="Arial" w:cs="Arial"/>
          <w:color w:val="464646"/>
          <w:sz w:val="18"/>
          <w:szCs w:val="18"/>
        </w:rPr>
        <w:t>List otwarty</w:t>
      </w:r>
    </w:p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b/>
          <w:color w:val="464646"/>
          <w:sz w:val="18"/>
          <w:szCs w:val="18"/>
        </w:rPr>
      </w:pPr>
    </w:p>
    <w:p w:rsidR="00761490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464646"/>
          <w:sz w:val="18"/>
          <w:szCs w:val="18"/>
        </w:rPr>
      </w:pPr>
    </w:p>
    <w:p w:rsidR="00761490" w:rsidRPr="009453CA" w:rsidRDefault="00761490" w:rsidP="00761490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b/>
          <w:i/>
          <w:color w:val="464646"/>
          <w:sz w:val="18"/>
          <w:szCs w:val="18"/>
        </w:rPr>
      </w:pPr>
      <w:r w:rsidRPr="009453CA">
        <w:rPr>
          <w:rFonts w:ascii="Arial" w:hAnsi="Arial" w:cs="Arial"/>
          <w:b/>
          <w:i/>
          <w:color w:val="464646"/>
          <w:sz w:val="18"/>
          <w:szCs w:val="18"/>
        </w:rPr>
        <w:t>Szanowni Państwo,</w:t>
      </w:r>
    </w:p>
    <w:p w:rsidR="00E37D09" w:rsidRPr="009453CA" w:rsidRDefault="00C268F9" w:rsidP="0076149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>Ogólnopolska akcja Szybki PIT dotycząca składania rocznych zeznań podatkowych ruszyła po raz piąty.</w:t>
      </w:r>
    </w:p>
    <w:p w:rsidR="00E37D09" w:rsidRPr="009453CA" w:rsidRDefault="00C268F9" w:rsidP="0076149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>Głównym celem Akcji jest uświadomienie podatnikom tego, jakie korzyści płyną z terminowego i szybkiego składania deklaracji podatkowych oraz rozpowszechnienie informacji o możliwości składania deklaracji podatkowych drogą elektroniczną.</w:t>
      </w:r>
    </w:p>
    <w:p w:rsidR="00E37D09" w:rsidRPr="009453CA" w:rsidRDefault="00C268F9" w:rsidP="0076149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 xml:space="preserve">Do tego celu Ministerstwo Finansów przygotowało szereg ułatwień. Wspólnie z partnerami medialnymi będzie informować, pomagać, uczyć i edukować. Lokalnie kampania promowana jest przez rzeczników izb </w:t>
      </w:r>
      <w:r w:rsidR="00761490" w:rsidRPr="009453CA">
        <w:rPr>
          <w:rFonts w:ascii="Arial" w:hAnsi="Arial" w:cs="Arial"/>
          <w:sz w:val="18"/>
          <w:szCs w:val="18"/>
        </w:rPr>
        <w:t>skarbowych oraz urzędów skarbowych,</w:t>
      </w:r>
      <w:r w:rsidRPr="009453CA">
        <w:rPr>
          <w:rFonts w:ascii="Arial" w:hAnsi="Arial" w:cs="Arial"/>
          <w:sz w:val="18"/>
          <w:szCs w:val="18"/>
        </w:rPr>
        <w:t xml:space="preserve"> którzy z roku na rok organizują akcję z coraz większym rozmachem.</w:t>
      </w:r>
    </w:p>
    <w:p w:rsidR="00761490" w:rsidRPr="009453CA" w:rsidRDefault="00761490" w:rsidP="0076149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 xml:space="preserve">Główne działania akcji prowadzone są w oparciu o serwis internetowy </w:t>
      </w:r>
      <w:hyperlink r:id="rId5" w:history="1">
        <w:r w:rsidRPr="009453CA">
          <w:rPr>
            <w:rStyle w:val="Hipercze"/>
            <w:rFonts w:ascii="Arial" w:hAnsi="Arial" w:cs="Arial"/>
            <w:color w:val="auto"/>
            <w:sz w:val="18"/>
            <w:szCs w:val="18"/>
          </w:rPr>
          <w:t>www.szybkipit.pl</w:t>
        </w:r>
      </w:hyperlink>
      <w:r w:rsidRPr="009453CA">
        <w:rPr>
          <w:rFonts w:ascii="Arial" w:hAnsi="Arial" w:cs="Arial"/>
          <w:sz w:val="18"/>
          <w:szCs w:val="18"/>
        </w:rPr>
        <w:t xml:space="preserve"> poświęcony zagadnieniom związanym z podatkiem dochodowym od osób fizycznych i okresem rozliczeniowym, który stanowi kompendium wiedzy na temat rozliczania podatku dochodowego od osób fizycznych.</w:t>
      </w:r>
    </w:p>
    <w:p w:rsidR="009453CA" w:rsidRPr="009453CA" w:rsidRDefault="009453CA" w:rsidP="009453CA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 xml:space="preserve">Każdy, kto wypełniając PIT ma problemy i wątpliwości, może je rozwiać z pomocą informacji zawartych na stronie. Ma ona do zaoferowania kalkulatory, wszystkie potrzebne formularze i broszury. Za jej pośrednictwem można też wysłać do swojego urzędu skarbowego roczne zeznania podatkowe przez aplikację e-Deklaracje Desktop. A co najważniejsze pozwala ona na kontakt z ekspertami podatkowymi z naszego resortu, którym można zadać bezpośrednio pytanie przez aplikację </w:t>
      </w:r>
      <w:proofErr w:type="spellStart"/>
      <w:r w:rsidRPr="009453CA">
        <w:rPr>
          <w:rFonts w:ascii="Arial" w:hAnsi="Arial" w:cs="Arial"/>
          <w:sz w:val="18"/>
          <w:szCs w:val="18"/>
        </w:rPr>
        <w:t>pytaniową</w:t>
      </w:r>
      <w:proofErr w:type="spellEnd"/>
      <w:r w:rsidRPr="009453CA">
        <w:rPr>
          <w:rFonts w:ascii="Arial" w:hAnsi="Arial" w:cs="Arial"/>
          <w:sz w:val="18"/>
          <w:szCs w:val="18"/>
        </w:rPr>
        <w:t>.</w:t>
      </w:r>
    </w:p>
    <w:p w:rsidR="009453CA" w:rsidRDefault="009453CA" w:rsidP="009453CA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 xml:space="preserve">Każdy internauta może tez swobodnie przeglądać wszystkie zadane pytania poprzez aplikację, np. po kategoriach tematycznych, za pomocą </w:t>
      </w:r>
      <w:proofErr w:type="spellStart"/>
      <w:r w:rsidRPr="009453CA">
        <w:rPr>
          <w:rFonts w:ascii="Arial" w:hAnsi="Arial" w:cs="Arial"/>
          <w:sz w:val="18"/>
          <w:szCs w:val="18"/>
        </w:rPr>
        <w:t>tagów</w:t>
      </w:r>
      <w:proofErr w:type="spellEnd"/>
      <w:r w:rsidRPr="009453CA">
        <w:rPr>
          <w:rFonts w:ascii="Arial" w:hAnsi="Arial" w:cs="Arial"/>
          <w:sz w:val="18"/>
          <w:szCs w:val="18"/>
        </w:rPr>
        <w:t xml:space="preserve"> lub najciekawszych czy najczęściej zadawanych pytań. Zadane pytania przez użytkownika wymaga jedynie podania jego adresu e-mail, na który otrzyma on ID pytania, pozwalające je później odnaleźć w aplikacji. </w:t>
      </w:r>
    </w:p>
    <w:p w:rsidR="00CC5890" w:rsidRPr="00CC5890" w:rsidRDefault="00CC5890" w:rsidP="009453CA">
      <w:pPr>
        <w:spacing w:before="120" w:after="120" w:line="240" w:lineRule="auto"/>
        <w:rPr>
          <w:rFonts w:ascii="Arial" w:hAnsi="Arial" w:cs="Arial"/>
          <w:sz w:val="18"/>
          <w:szCs w:val="18"/>
        </w:rPr>
      </w:pPr>
    </w:p>
    <w:p w:rsidR="00CC5890" w:rsidRPr="00B82A0F" w:rsidRDefault="00CC5890" w:rsidP="00CC5890">
      <w:pPr>
        <w:pStyle w:val="NormalnyWeb"/>
        <w:spacing w:before="0" w:beforeAutospacing="0" w:after="0"/>
        <w:rPr>
          <w:rFonts w:ascii="Arial" w:hAnsi="Arial" w:cs="Arial"/>
          <w:sz w:val="18"/>
          <w:szCs w:val="18"/>
        </w:rPr>
      </w:pPr>
      <w:r w:rsidRPr="00B82A0F">
        <w:rPr>
          <w:rStyle w:val="Pogrubienie"/>
          <w:rFonts w:ascii="Arial" w:hAnsi="Arial" w:cs="Arial"/>
          <w:sz w:val="18"/>
          <w:szCs w:val="18"/>
        </w:rPr>
        <w:t>Korzyści wynikające ze złożenia deklaracji w formie elektronicznej: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oszczędność czasu,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niższe koszty złożenia deklaracji podatkowej,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łatwość wypełnienia,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gwarancja poprawności składanej deklaracji,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ochrona środowiska,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bezpieczeństwo przesyłanych danych,</w:t>
      </w:r>
    </w:p>
    <w:p w:rsidR="00CC5890" w:rsidRPr="00CC5890" w:rsidRDefault="00CC5890" w:rsidP="00CC5890">
      <w:pPr>
        <w:pStyle w:val="NormalnyWeb"/>
        <w:spacing w:before="0" w:beforeAutospacing="0" w:after="0"/>
        <w:ind w:left="720"/>
        <w:rPr>
          <w:rFonts w:ascii="Arial" w:hAnsi="Arial" w:cs="Arial"/>
          <w:sz w:val="18"/>
          <w:szCs w:val="18"/>
        </w:rPr>
      </w:pPr>
      <w:r w:rsidRPr="00CC5890">
        <w:rPr>
          <w:rFonts w:ascii="Arial" w:hAnsi="Arial" w:cs="Arial"/>
          <w:sz w:val="18"/>
          <w:szCs w:val="18"/>
        </w:rPr>
        <w:t xml:space="preserve">·         </w:t>
      </w:r>
      <w:r w:rsidRPr="00CC5890">
        <w:rPr>
          <w:rStyle w:val="Pogrubienie"/>
          <w:rFonts w:ascii="Arial" w:hAnsi="Arial" w:cs="Arial"/>
          <w:b w:val="0"/>
          <w:sz w:val="18"/>
          <w:szCs w:val="18"/>
        </w:rPr>
        <w:t>otrzymanie potwierdzenia złożenia deklaracji.</w:t>
      </w:r>
    </w:p>
    <w:p w:rsidR="00CC5890" w:rsidRPr="00CC5890" w:rsidRDefault="00CC5890" w:rsidP="00CC5890">
      <w:pPr>
        <w:spacing w:line="240" w:lineRule="auto"/>
        <w:rPr>
          <w:rFonts w:ascii="Arial" w:hAnsi="Arial" w:cs="Arial"/>
        </w:rPr>
      </w:pPr>
    </w:p>
    <w:p w:rsidR="009453CA" w:rsidRPr="009453CA" w:rsidRDefault="009453CA" w:rsidP="009453CA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sz w:val="18"/>
          <w:szCs w:val="18"/>
        </w:rPr>
        <w:t xml:space="preserve">Szczegółowe informacje znajdziesz na stronie </w:t>
      </w:r>
      <w:hyperlink r:id="rId6" w:history="1">
        <w:r w:rsidRPr="009453CA">
          <w:rPr>
            <w:rStyle w:val="Hipercze"/>
            <w:rFonts w:ascii="Arial" w:hAnsi="Arial" w:cs="Arial"/>
            <w:sz w:val="18"/>
            <w:szCs w:val="18"/>
          </w:rPr>
          <w:t>www.szybkipit.pl</w:t>
        </w:r>
      </w:hyperlink>
      <w:r w:rsidRPr="009453CA">
        <w:rPr>
          <w:rFonts w:ascii="Arial" w:hAnsi="Arial" w:cs="Arial"/>
          <w:sz w:val="18"/>
          <w:szCs w:val="18"/>
        </w:rPr>
        <w:t xml:space="preserve"> </w:t>
      </w:r>
    </w:p>
    <w:p w:rsidR="009453CA" w:rsidRPr="009453CA" w:rsidRDefault="009453CA" w:rsidP="009453CA">
      <w:pPr>
        <w:spacing w:before="120" w:after="120" w:line="240" w:lineRule="auto"/>
        <w:rPr>
          <w:rFonts w:ascii="Arial" w:hAnsi="Arial" w:cs="Arial"/>
          <w:sz w:val="18"/>
          <w:szCs w:val="18"/>
        </w:rPr>
      </w:pPr>
    </w:p>
    <w:p w:rsidR="009453CA" w:rsidRPr="009453CA" w:rsidRDefault="009453CA" w:rsidP="009453CA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9453CA">
        <w:rPr>
          <w:rFonts w:ascii="Arial" w:hAnsi="Arial" w:cs="Arial"/>
          <w:b/>
          <w:sz w:val="18"/>
          <w:szCs w:val="18"/>
        </w:rPr>
        <w:t>Uwaga!</w:t>
      </w:r>
      <w:r w:rsidRPr="009453CA">
        <w:rPr>
          <w:rFonts w:ascii="Arial" w:hAnsi="Arial" w:cs="Arial"/>
          <w:sz w:val="18"/>
          <w:szCs w:val="18"/>
        </w:rPr>
        <w:t xml:space="preserve"> W dniu 05 kwietnia 2014 r. (sobota) w godz. 9.00 – 13.00 w siedzibie Urzędu Skarbowego Poznań – Grunwald  Poznań, ul. M. Smoluchowskiego 1 odbędzie się „Dzień Otwarty”. Ponadto w ostatnim tygodnia kwietnia tj. w dniach 28, 29, 30 kwietnia 2014 r. zaplanowano wydłużone godziny pracy do godziny 18.00.</w:t>
      </w:r>
    </w:p>
    <w:p w:rsidR="009453CA" w:rsidRPr="009453CA" w:rsidRDefault="009453CA" w:rsidP="009453CA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W ramach akcji „SZYBKI PIT” Naczelnik Urzędu Skarbowego Poznań – Grunwald zaprasza wszystkich zainteresowanych do siedziby Urzędu Skarbowego w Poznaniu przy ul. M. Smoluchowskiego 1 w celu wysłania zeznań drogą elektroniczną.</w:t>
      </w:r>
    </w:p>
    <w:p w:rsidR="009453CA" w:rsidRPr="009453CA" w:rsidRDefault="009453CA" w:rsidP="009453CA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Osobom zainteresowanym udostępnione zostanie na Sali Obsługi Klienta stanowisko komputerowe z zainstalowaną aplikacją do wypełniania</w:t>
      </w:r>
      <w:r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</w:t>
      </w: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i przesłania zeznań przez Internet.</w:t>
      </w:r>
    </w:p>
    <w:p w:rsidR="009453CA" w:rsidRPr="009453CA" w:rsidRDefault="009453CA" w:rsidP="009453CA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UWAGA!</w:t>
      </w:r>
    </w:p>
    <w:p w:rsidR="009453CA" w:rsidRPr="009453CA" w:rsidRDefault="009453CA" w:rsidP="009453C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Podatnicy chcący wysłać zeznanie za 2013 rok drogą elektroniczną, powinni zabrać ze sobą:</w:t>
      </w:r>
    </w:p>
    <w:p w:rsidR="009453CA" w:rsidRPr="009453CA" w:rsidRDefault="009453CA" w:rsidP="009453C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dokument tożsamości</w:t>
      </w:r>
    </w:p>
    <w:p w:rsidR="009453CA" w:rsidRPr="009453CA" w:rsidRDefault="009453CA" w:rsidP="009453C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informację na temat kwoty przychodu (ogółem) wykazanej w zeznaniu za rok poprzedni tj. PIT za 2012</w:t>
      </w:r>
    </w:p>
    <w:p w:rsidR="009453CA" w:rsidRPr="009453CA" w:rsidRDefault="009453CA" w:rsidP="009453C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dokumenty niezbędne do rozliczenia podatku za 2013 rok</w:t>
      </w:r>
    </w:p>
    <w:p w:rsidR="009453CA" w:rsidRPr="009453CA" w:rsidRDefault="009453CA" w:rsidP="009453CA">
      <w:pPr>
        <w:pStyle w:val="Akapitzlist"/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- informacje od płatników np. PIT-11, PIT-11A, PIT-8C</w:t>
      </w:r>
    </w:p>
    <w:p w:rsidR="009453CA" w:rsidRPr="009453CA" w:rsidRDefault="009453CA" w:rsidP="009453CA">
      <w:pPr>
        <w:pStyle w:val="Akapitzlist"/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- nr Pesel dzieci w przypadku możliwości zastosowania ulgi prorodzinnej</w:t>
      </w:r>
    </w:p>
    <w:p w:rsidR="009453CA" w:rsidRPr="00CC5890" w:rsidRDefault="009453CA" w:rsidP="00CC5890">
      <w:pPr>
        <w:pStyle w:val="Akapitzlist"/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- dokumenty potwierdzające odliczenia.</w:t>
      </w:r>
    </w:p>
    <w:p w:rsidR="009453CA" w:rsidRDefault="009453CA" w:rsidP="009453CA">
      <w:pPr>
        <w:pStyle w:val="Akapitzlist"/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</w:p>
    <w:p w:rsidR="009453CA" w:rsidRPr="009453CA" w:rsidRDefault="009453CA" w:rsidP="009453CA">
      <w:pPr>
        <w:pStyle w:val="Akapitzlist"/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                                                           </w:t>
      </w:r>
      <w:r w:rsidR="00C268F9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</w:t>
      </w: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Naczelnik Urzędu Skarbowego</w:t>
      </w:r>
    </w:p>
    <w:p w:rsidR="009453CA" w:rsidRPr="009453CA" w:rsidRDefault="009453CA" w:rsidP="009453CA">
      <w:pPr>
        <w:pStyle w:val="Akapitzlist"/>
        <w:shd w:val="clear" w:color="auto" w:fill="FFFFFF"/>
        <w:spacing w:line="240" w:lineRule="auto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</w:t>
      </w:r>
      <w:r w:rsidR="00C268F9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    </w:t>
      </w: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Poznań – Grunwald</w:t>
      </w:r>
    </w:p>
    <w:p w:rsidR="00774B24" w:rsidRDefault="009453CA" w:rsidP="009453CA">
      <w:pPr>
        <w:pStyle w:val="Akapitzlist"/>
        <w:shd w:val="clear" w:color="auto" w:fill="FFFFFF"/>
        <w:spacing w:line="240" w:lineRule="auto"/>
      </w:pP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</w:t>
      </w:r>
      <w:r w:rsidR="00C268F9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     </w:t>
      </w:r>
      <w:r w:rsidRPr="009453CA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       </w:t>
      </w:r>
      <w:r w:rsidRPr="009453CA"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eastAsia="pl-PL"/>
        </w:rPr>
        <w:t>Ryszard Błaszyk</w:t>
      </w:r>
    </w:p>
    <w:sectPr w:rsidR="00774B24" w:rsidSect="00CC589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078"/>
    <w:multiLevelType w:val="hybridMultilevel"/>
    <w:tmpl w:val="E656F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A642E"/>
    <w:multiLevelType w:val="hybridMultilevel"/>
    <w:tmpl w:val="E536EB46"/>
    <w:lvl w:ilvl="0" w:tplc="6F7EB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A49E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78AA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5A14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069C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FE61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F6E6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5E13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5273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490"/>
    <w:rsid w:val="002B242D"/>
    <w:rsid w:val="00761490"/>
    <w:rsid w:val="00774B24"/>
    <w:rsid w:val="009453CA"/>
    <w:rsid w:val="00A672D9"/>
    <w:rsid w:val="00B82A0F"/>
    <w:rsid w:val="00C268F9"/>
    <w:rsid w:val="00CC5890"/>
    <w:rsid w:val="00E3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4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149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1490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53C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CC58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51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3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0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ybkipit.pl" TargetMode="External"/><Relationship Id="rId5" Type="http://schemas.openxmlformats.org/officeDocument/2006/relationships/hyperlink" Target="http://www.szybkipi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agnieszka.zmudzinska</dc:creator>
  <cp:keywords/>
  <dc:description/>
  <cp:lastModifiedBy>agnieszka.zmudzinska</cp:lastModifiedBy>
  <cp:revision>7</cp:revision>
  <dcterms:created xsi:type="dcterms:W3CDTF">2014-02-07T09:15:00Z</dcterms:created>
  <dcterms:modified xsi:type="dcterms:W3CDTF">2014-02-07T09:36:00Z</dcterms:modified>
</cp:coreProperties>
</file>